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2F" w:rsidRPr="00C307BB" w:rsidRDefault="00BC3C2F" w:rsidP="009D16DB">
      <w:pPr>
        <w:spacing w:line="400" w:lineRule="exact"/>
        <w:jc w:val="center"/>
        <w:rPr>
          <w:sz w:val="44"/>
        </w:rPr>
      </w:pPr>
      <w:r w:rsidRPr="00C307BB">
        <w:rPr>
          <w:i/>
          <w:sz w:val="44"/>
        </w:rPr>
        <w:t>The Good Soldier</w:t>
      </w:r>
      <w:r w:rsidRPr="00C307BB">
        <w:rPr>
          <w:sz w:val="44"/>
        </w:rPr>
        <w:t xml:space="preserve"> Centenary Conference</w:t>
      </w:r>
    </w:p>
    <w:p w:rsidR="00BC3C2F" w:rsidRPr="009D16DB" w:rsidRDefault="00BC3C2F" w:rsidP="00AF2B2B">
      <w:pPr>
        <w:spacing w:line="320" w:lineRule="exact"/>
        <w:jc w:val="center"/>
        <w:rPr>
          <w:sz w:val="28"/>
        </w:rPr>
      </w:pPr>
    </w:p>
    <w:p w:rsidR="00BC3C2F" w:rsidRPr="009D16DB" w:rsidRDefault="00BC3C2F" w:rsidP="00AF2B2B">
      <w:pPr>
        <w:spacing w:line="320" w:lineRule="exact"/>
        <w:jc w:val="center"/>
        <w:rPr>
          <w:b/>
          <w:sz w:val="28"/>
        </w:rPr>
      </w:pPr>
      <w:r w:rsidRPr="009D16DB">
        <w:rPr>
          <w:b/>
          <w:sz w:val="28"/>
        </w:rPr>
        <w:t>Swansea University and The Ford Madox Ford Society</w:t>
      </w:r>
    </w:p>
    <w:p w:rsidR="00BC3C2F" w:rsidRPr="009D16DB" w:rsidRDefault="00BC3C2F" w:rsidP="00AF2B2B">
      <w:pPr>
        <w:spacing w:line="320" w:lineRule="exact"/>
        <w:jc w:val="center"/>
        <w:rPr>
          <w:sz w:val="28"/>
        </w:rPr>
      </w:pPr>
    </w:p>
    <w:p w:rsidR="00BC3C2F" w:rsidRPr="00C307BB" w:rsidRDefault="00BC3C2F" w:rsidP="00AF2B2B">
      <w:pPr>
        <w:spacing w:line="320" w:lineRule="exact"/>
        <w:jc w:val="center"/>
        <w:rPr>
          <w:b/>
          <w:sz w:val="28"/>
        </w:rPr>
      </w:pPr>
      <w:r w:rsidRPr="00C307BB">
        <w:rPr>
          <w:b/>
          <w:sz w:val="28"/>
        </w:rPr>
        <w:t>12-14 September 2013</w:t>
      </w:r>
    </w:p>
    <w:p w:rsidR="00BC3C2F" w:rsidRDefault="00BC3C2F" w:rsidP="00AF2B2B">
      <w:pPr>
        <w:spacing w:line="320" w:lineRule="exact"/>
        <w:jc w:val="center"/>
        <w:rPr>
          <w:sz w:val="32"/>
        </w:rPr>
      </w:pPr>
    </w:p>
    <w:p w:rsidR="00BC3C2F" w:rsidRPr="00C307BB" w:rsidRDefault="00BC3C2F" w:rsidP="00AF2B2B">
      <w:pPr>
        <w:spacing w:line="320" w:lineRule="exact"/>
        <w:jc w:val="center"/>
        <w:rPr>
          <w:b/>
          <w:sz w:val="32"/>
        </w:rPr>
      </w:pPr>
      <w:r w:rsidRPr="00C307BB">
        <w:rPr>
          <w:b/>
          <w:sz w:val="32"/>
        </w:rPr>
        <w:t>CONFERENCE REGISTRATION</w:t>
      </w:r>
    </w:p>
    <w:p w:rsidR="00BC3C2F" w:rsidRDefault="00BC3C2F" w:rsidP="00AF2B2B">
      <w:pPr>
        <w:spacing w:line="320" w:lineRule="exact"/>
      </w:pPr>
    </w:p>
    <w:p w:rsidR="00BC3C2F" w:rsidRDefault="00BC3C2F" w:rsidP="00AF2B2B">
      <w:pPr>
        <w:spacing w:line="320" w:lineRule="exact"/>
      </w:pPr>
    </w:p>
    <w:p w:rsidR="00BC3C2F" w:rsidRDefault="00BC3C2F" w:rsidP="00AF2B2B">
      <w:pPr>
        <w:spacing w:line="320" w:lineRule="exact"/>
      </w:pPr>
    </w:p>
    <w:p w:rsidR="00BC3C2F" w:rsidRDefault="00BC3C2F" w:rsidP="00AF2B2B">
      <w:pPr>
        <w:spacing w:line="320" w:lineRule="exact"/>
      </w:pPr>
      <w:r>
        <w:t xml:space="preserve">NAME: </w:t>
      </w:r>
    </w:p>
    <w:p w:rsidR="00BC3C2F" w:rsidRDefault="00BC3C2F" w:rsidP="00AF2B2B">
      <w:pPr>
        <w:spacing w:line="320" w:lineRule="exact"/>
      </w:pPr>
    </w:p>
    <w:p w:rsidR="00BC3C2F" w:rsidRDefault="00BC3C2F" w:rsidP="00AF2B2B">
      <w:pPr>
        <w:spacing w:line="320" w:lineRule="exact"/>
      </w:pPr>
      <w:r>
        <w:t xml:space="preserve">INSTITUTION: </w:t>
      </w:r>
    </w:p>
    <w:p w:rsidR="00BC3C2F" w:rsidRDefault="00BC3C2F" w:rsidP="00AF2B2B">
      <w:pPr>
        <w:spacing w:line="320" w:lineRule="exact"/>
      </w:pPr>
    </w:p>
    <w:p w:rsidR="00BC3C2F" w:rsidRDefault="00BC3C2F" w:rsidP="00AF2B2B">
      <w:pPr>
        <w:spacing w:line="320" w:lineRule="exact"/>
      </w:pPr>
      <w:r>
        <w:t>Are you delivering a paper during this conference?  YES  /  NO</w:t>
      </w:r>
    </w:p>
    <w:p w:rsidR="00BC3C2F" w:rsidRDefault="00BC3C2F" w:rsidP="00AF2B2B">
      <w:pPr>
        <w:spacing w:line="320" w:lineRule="exact"/>
      </w:pPr>
    </w:p>
    <w:p w:rsidR="00BC3C2F" w:rsidRDefault="00BC3C2F" w:rsidP="00AF2B2B">
      <w:pPr>
        <w:spacing w:line="3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70"/>
        <w:gridCol w:w="1418"/>
        <w:gridCol w:w="1427"/>
      </w:tblGrid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b/>
                <w:sz w:val="22"/>
              </w:rPr>
            </w:pPr>
            <w:r w:rsidRPr="005B239B">
              <w:rPr>
                <w:b/>
                <w:sz w:val="22"/>
              </w:rPr>
              <w:t>Cost</w:t>
            </w: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b/>
                <w:sz w:val="22"/>
              </w:rPr>
            </w:pPr>
            <w:r w:rsidRPr="005B239B">
              <w:rPr>
                <w:b/>
                <w:sz w:val="22"/>
              </w:rPr>
              <w:t>Payable</w:t>
            </w: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  <w:r w:rsidRPr="005B239B">
              <w:rPr>
                <w:sz w:val="22"/>
              </w:rPr>
              <w:t>Full Registration (Thursday to Saturday)</w:t>
            </w: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  <w:r w:rsidRPr="005B239B">
              <w:rPr>
                <w:sz w:val="22"/>
              </w:rPr>
              <w:t>£75</w:t>
            </w: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  <w:r w:rsidRPr="005B239B">
              <w:rPr>
                <w:sz w:val="22"/>
              </w:rPr>
              <w:t>One Day Registration (any of the three days)</w:t>
            </w: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  <w:r w:rsidRPr="005B239B">
              <w:rPr>
                <w:sz w:val="22"/>
              </w:rPr>
              <w:t>£45</w:t>
            </w: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  <w:r w:rsidRPr="005B239B">
              <w:rPr>
                <w:sz w:val="22"/>
              </w:rPr>
              <w:t>PG and Unwaged Registration (Thursday to Saturday)</w:t>
            </w: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  <w:r w:rsidRPr="005B239B">
              <w:rPr>
                <w:sz w:val="22"/>
              </w:rPr>
              <w:t>£45</w:t>
            </w: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  <w:r w:rsidRPr="005B239B">
              <w:rPr>
                <w:sz w:val="22"/>
              </w:rPr>
              <w:t>Conference Dinner (Friday)</w:t>
            </w: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  <w:r w:rsidRPr="005B239B">
              <w:rPr>
                <w:sz w:val="22"/>
              </w:rPr>
              <w:t>£15</w:t>
            </w: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  <w:r w:rsidRPr="005B239B">
              <w:rPr>
                <w:sz w:val="22"/>
              </w:rPr>
              <w:t>Extra Event (Saturday 2pm - 5pm)</w:t>
            </w: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  <w:r w:rsidRPr="005B239B">
              <w:rPr>
                <w:sz w:val="22"/>
              </w:rPr>
              <w:t>£20</w:t>
            </w: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sz w:val="22"/>
              </w:rPr>
            </w:pP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BC3C2F" w:rsidRPr="005B239B" w:rsidTr="005B239B">
        <w:tc>
          <w:tcPr>
            <w:tcW w:w="5670" w:type="dxa"/>
          </w:tcPr>
          <w:p w:rsidR="00BC3C2F" w:rsidRPr="005B239B" w:rsidRDefault="00BC3C2F" w:rsidP="005B239B">
            <w:pPr>
              <w:spacing w:line="320" w:lineRule="exact"/>
              <w:rPr>
                <w:b/>
                <w:sz w:val="22"/>
              </w:rPr>
            </w:pPr>
            <w:r w:rsidRPr="005B239B">
              <w:rPr>
                <w:b/>
                <w:sz w:val="22"/>
              </w:rPr>
              <w:t>TOTAL PAYABLE</w:t>
            </w:r>
          </w:p>
        </w:tc>
        <w:tc>
          <w:tcPr>
            <w:tcW w:w="1418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27" w:type="dxa"/>
          </w:tcPr>
          <w:p w:rsidR="00BC3C2F" w:rsidRPr="005B239B" w:rsidRDefault="00BC3C2F" w:rsidP="005B239B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:rsidR="00BC3C2F" w:rsidRDefault="00BC3C2F" w:rsidP="00AF2B2B">
      <w:pPr>
        <w:spacing w:line="320" w:lineRule="exact"/>
        <w:rPr>
          <w:sz w:val="20"/>
        </w:rPr>
      </w:pPr>
    </w:p>
    <w:p w:rsidR="00BC3C2F" w:rsidRDefault="00BC3C2F" w:rsidP="00AF2B2B">
      <w:pPr>
        <w:spacing w:line="320" w:lineRule="exact"/>
        <w:rPr>
          <w:sz w:val="20"/>
        </w:rPr>
      </w:pPr>
    </w:p>
    <w:p w:rsidR="00BC3C2F" w:rsidRPr="00AF2B2B" w:rsidRDefault="00BC3C2F" w:rsidP="00AF2B2B">
      <w:pPr>
        <w:spacing w:line="320" w:lineRule="exact"/>
        <w:rPr>
          <w:sz w:val="20"/>
        </w:rPr>
      </w:pPr>
    </w:p>
    <w:p w:rsidR="00BC3C2F" w:rsidRPr="00AF2B2B" w:rsidRDefault="00BC3C2F" w:rsidP="009D16DB">
      <w:pPr>
        <w:spacing w:line="320" w:lineRule="exact"/>
        <w:ind w:left="426" w:hanging="426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</w:r>
      <w:r w:rsidRPr="00AF2B2B">
        <w:rPr>
          <w:sz w:val="20"/>
        </w:rPr>
        <w:t xml:space="preserve">Full registration includes access to all sessions of </w:t>
      </w:r>
      <w:r w:rsidRPr="00AF2B2B">
        <w:rPr>
          <w:i/>
          <w:sz w:val="20"/>
        </w:rPr>
        <w:t>The Good Soldier</w:t>
      </w:r>
      <w:r w:rsidRPr="00AF2B2B">
        <w:rPr>
          <w:sz w:val="20"/>
        </w:rPr>
        <w:t xml:space="preserve"> Centenary Conference, </w:t>
      </w:r>
      <w:r>
        <w:rPr>
          <w:sz w:val="20"/>
        </w:rPr>
        <w:t xml:space="preserve">tea and coffee every day </w:t>
      </w:r>
      <w:r w:rsidRPr="00AF2B2B">
        <w:rPr>
          <w:sz w:val="20"/>
        </w:rPr>
        <w:t>and the Thursday evening wine reception. Registration does not</w:t>
      </w:r>
      <w:r>
        <w:rPr>
          <w:sz w:val="20"/>
        </w:rPr>
        <w:t xml:space="preserve"> include the conference dinner on Friday.</w:t>
      </w:r>
    </w:p>
    <w:p w:rsidR="00BC3C2F" w:rsidRPr="00AF2B2B" w:rsidRDefault="00BC3C2F" w:rsidP="009D16DB">
      <w:pPr>
        <w:spacing w:line="320" w:lineRule="exact"/>
        <w:ind w:left="426" w:hanging="426"/>
        <w:jc w:val="both"/>
        <w:rPr>
          <w:sz w:val="20"/>
        </w:rPr>
      </w:pPr>
    </w:p>
    <w:p w:rsidR="00BC3C2F" w:rsidRPr="00AF2B2B" w:rsidRDefault="00BC3C2F" w:rsidP="009D16DB">
      <w:pPr>
        <w:spacing w:line="320" w:lineRule="exact"/>
        <w:ind w:left="426" w:hanging="426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Registering for t</w:t>
      </w:r>
      <w:r w:rsidRPr="00AF2B2B">
        <w:rPr>
          <w:sz w:val="20"/>
        </w:rPr>
        <w:t>he extra event will give Ford conference delegates access to the Saturday afternoon session of the Rhys Davies Short Story Conference, which is being organised by Literature Wa</w:t>
      </w:r>
      <w:r>
        <w:rPr>
          <w:sz w:val="20"/>
        </w:rPr>
        <w:t>les at Swansea University on 14 and 15 September. Details of t</w:t>
      </w:r>
      <w:r w:rsidRPr="00AF2B2B">
        <w:rPr>
          <w:sz w:val="20"/>
        </w:rPr>
        <w:t xml:space="preserve">he </w:t>
      </w:r>
      <w:r>
        <w:rPr>
          <w:sz w:val="20"/>
        </w:rPr>
        <w:t xml:space="preserve">extra </w:t>
      </w:r>
      <w:r w:rsidRPr="00AF2B2B">
        <w:rPr>
          <w:sz w:val="20"/>
        </w:rPr>
        <w:t xml:space="preserve">Saturday afternoon </w:t>
      </w:r>
      <w:r>
        <w:rPr>
          <w:sz w:val="20"/>
        </w:rPr>
        <w:t>event will be circulated as soon as they have been confirmed</w:t>
      </w:r>
      <w:r w:rsidRPr="00AF2B2B">
        <w:rPr>
          <w:sz w:val="20"/>
        </w:rPr>
        <w:t>.</w:t>
      </w:r>
    </w:p>
    <w:p w:rsidR="00BC3C2F" w:rsidRPr="00AF2B2B" w:rsidRDefault="00BC3C2F" w:rsidP="009D16DB">
      <w:pPr>
        <w:spacing w:line="320" w:lineRule="exact"/>
        <w:ind w:left="426" w:hanging="426"/>
        <w:jc w:val="both"/>
        <w:rPr>
          <w:sz w:val="20"/>
        </w:rPr>
      </w:pPr>
    </w:p>
    <w:p w:rsidR="00BC3C2F" w:rsidRPr="00AF2B2B" w:rsidRDefault="00BC3C2F" w:rsidP="009D16DB">
      <w:pPr>
        <w:spacing w:line="320" w:lineRule="exact"/>
        <w:ind w:left="426" w:hanging="426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</w:r>
      <w:r w:rsidRPr="00AF2B2B">
        <w:rPr>
          <w:sz w:val="20"/>
        </w:rPr>
        <w:t>Please complete and return your registration form before the end of August. Conference registration fees will be payable during registration on the morning of Thursday 12 Se</w:t>
      </w:r>
      <w:r>
        <w:rPr>
          <w:sz w:val="20"/>
        </w:rPr>
        <w:t xml:space="preserve">ptember. Please </w:t>
      </w:r>
      <w:r w:rsidRPr="00AF2B2B">
        <w:rPr>
          <w:sz w:val="20"/>
        </w:rPr>
        <w:t>arrange to pay in sterling as we will not have any facilities for</w:t>
      </w:r>
      <w:r>
        <w:rPr>
          <w:sz w:val="20"/>
        </w:rPr>
        <w:t xml:space="preserve"> accepting electronic payments. Receipts will be issued at registration. </w:t>
      </w:r>
    </w:p>
    <w:sectPr w:rsidR="00BC3C2F" w:rsidRPr="00AF2B2B" w:rsidSect="007B7374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18"/>
    <w:rsid w:val="0010557C"/>
    <w:rsid w:val="001D7B38"/>
    <w:rsid w:val="00230625"/>
    <w:rsid w:val="002863F8"/>
    <w:rsid w:val="00295CF8"/>
    <w:rsid w:val="00315E32"/>
    <w:rsid w:val="003A5F4A"/>
    <w:rsid w:val="003C49CA"/>
    <w:rsid w:val="00455EFB"/>
    <w:rsid w:val="004E2FE3"/>
    <w:rsid w:val="005B239B"/>
    <w:rsid w:val="005F2418"/>
    <w:rsid w:val="006472C0"/>
    <w:rsid w:val="007B7374"/>
    <w:rsid w:val="0087541D"/>
    <w:rsid w:val="008C4E43"/>
    <w:rsid w:val="009C2C06"/>
    <w:rsid w:val="009D16DB"/>
    <w:rsid w:val="00AF2B2B"/>
    <w:rsid w:val="00B7246E"/>
    <w:rsid w:val="00BC3C2F"/>
    <w:rsid w:val="00BC5AC4"/>
    <w:rsid w:val="00BC759F"/>
    <w:rsid w:val="00C307BB"/>
    <w:rsid w:val="00C47C5C"/>
    <w:rsid w:val="00C6774D"/>
    <w:rsid w:val="00C7246E"/>
    <w:rsid w:val="00D41EE5"/>
    <w:rsid w:val="00E445D0"/>
    <w:rsid w:val="00E96CAD"/>
    <w:rsid w:val="00EA2516"/>
    <w:rsid w:val="00FA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exact"/>
    </w:pPr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Soldier Centenary Conference</dc:title>
  <dc:subject/>
  <dc:creator>Geraint Evans</dc:creator>
  <cp:keywords/>
  <dc:description/>
  <cp:lastModifiedBy>Rob Hawkes</cp:lastModifiedBy>
  <cp:revision>2</cp:revision>
  <cp:lastPrinted>2013-07-29T16:37:00Z</cp:lastPrinted>
  <dcterms:created xsi:type="dcterms:W3CDTF">2013-07-30T21:11:00Z</dcterms:created>
  <dcterms:modified xsi:type="dcterms:W3CDTF">2013-07-30T21:11:00Z</dcterms:modified>
</cp:coreProperties>
</file>